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161E6170" w:rsidR="00784660" w:rsidRPr="002E157C" w:rsidRDefault="00784660" w:rsidP="007B1317">
      <w:pPr>
        <w:pStyle w:val="Titul2"/>
        <w:ind w:right="-144"/>
      </w:pPr>
      <w:r w:rsidRPr="002E157C">
        <w:t xml:space="preserve">Název zakázky: </w:t>
      </w:r>
      <w:bookmarkStart w:id="0" w:name="OLE_LINK1"/>
      <w:sdt>
        <w:sdtPr>
          <w:rPr>
            <w:rFonts w:cs="Verdana-BoldItalic"/>
            <w:bCs/>
            <w:sz w:val="32"/>
            <w:szCs w:val="30"/>
          </w:rPr>
          <w:alias w:val="Název akce - VYplnit pole - přenese se do zápatí"/>
          <w:tag w:val="Název akce"/>
          <w:id w:val="1889687308"/>
          <w:placeholder>
            <w:docPart w:val="83E19BE864684B2D98FD2EC1DF857CC6"/>
          </w:placeholder>
          <w:text/>
        </w:sdtPr>
        <w:sdtContent>
          <w:r w:rsidR="00B67ECE" w:rsidRPr="00B67ECE">
            <w:rPr>
              <w:rFonts w:cs="Verdana-BoldItalic"/>
              <w:bCs/>
              <w:sz w:val="32"/>
              <w:szCs w:val="30"/>
            </w:rPr>
            <w:t>„Rekonstrukce výpravní budovy ŽST Plzeň-Jižní Předměstí“</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4576671D"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B67ECE">
        <w:rPr>
          <w:rFonts w:ascii="Verdana" w:hAnsi="Verdana" w:cs="Arial"/>
          <w:sz w:val="18"/>
          <w:szCs w:val="18"/>
        </w:rPr>
        <w:t xml:space="preserve"> Mgr. Leoš Forman</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B67ECE">
        <w:rPr>
          <w:rFonts w:ascii="Verdana" w:hAnsi="Verdana" w:cs="Arial"/>
          <w:sz w:val="18"/>
          <w:szCs w:val="18"/>
        </w:rPr>
        <w:t xml:space="preserve"> </w:t>
      </w:r>
      <w:r w:rsidR="00B67ECE" w:rsidRPr="00B67ECE">
        <w:rPr>
          <w:rFonts w:ascii="Verdana" w:hAnsi="Verdana" w:cs="Arial"/>
          <w:sz w:val="18"/>
          <w:szCs w:val="18"/>
        </w:rPr>
        <w:t>+420 601 124 417</w:t>
      </w:r>
      <w:r w:rsidR="006A7423" w:rsidRPr="002E157C">
        <w:rPr>
          <w:rFonts w:ascii="Verdana" w:hAnsi="Verdana" w:cs="Arial"/>
          <w:sz w:val="18"/>
          <w:szCs w:val="18"/>
        </w:rPr>
        <w:t>, e-mail</w:t>
      </w:r>
      <w:r w:rsidR="00B67ECE">
        <w:rPr>
          <w:rFonts w:ascii="Verdana" w:hAnsi="Verdana" w:cs="Arial"/>
          <w:sz w:val="18"/>
          <w:szCs w:val="18"/>
        </w:rPr>
        <w:t>: FormanL@spravazeleznic.cz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960E0A">
        <w:rPr>
          <w:highlight w:val="green"/>
        </w:rPr>
        <w:t xml:space="preserve">[VLOŽÍ </w:t>
      </w:r>
      <w:r w:rsidR="00667FAA" w:rsidRPr="00960E0A">
        <w:rPr>
          <w:highlight w:val="green"/>
        </w:rPr>
        <w:t>OBJEDNATEL</w:t>
      </w:r>
      <w:r w:rsidRPr="00960E0A">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960E0A">
        <w:rPr>
          <w:highlight w:val="green"/>
        </w:rPr>
        <w:t>[VLOŽÍ OBJEDNATEL]</w:t>
      </w:r>
      <w:r>
        <w:t xml:space="preserve"> </w:t>
      </w:r>
    </w:p>
    <w:p w14:paraId="7EE1A2D2" w14:textId="3F45B935" w:rsidR="00784660" w:rsidRPr="002E157C" w:rsidRDefault="009A7BB6" w:rsidP="00734C0E">
      <w:pPr>
        <w:pStyle w:val="Textbezodsazen"/>
        <w:spacing w:line="280" w:lineRule="exact"/>
      </w:pPr>
      <w:r w:rsidRPr="00745B12">
        <w:rPr>
          <w:rFonts w:cs="Arial"/>
          <w:szCs w:val="20"/>
        </w:rPr>
        <w:t>ISPROFOND</w:t>
      </w:r>
      <w:r>
        <w:rPr>
          <w:rFonts w:cs="Arial"/>
          <w:szCs w:val="20"/>
        </w:rPr>
        <w:t xml:space="preserve"> </w:t>
      </w:r>
      <w:r w:rsidRPr="00745B12">
        <w:rPr>
          <w:rFonts w:cs="Arial"/>
          <w:szCs w:val="20"/>
        </w:rPr>
        <w:t>/</w:t>
      </w:r>
      <w:r>
        <w:rPr>
          <w:rFonts w:cs="Arial"/>
          <w:szCs w:val="20"/>
        </w:rPr>
        <w:t xml:space="preserve"> </w:t>
      </w:r>
      <w:r w:rsidRPr="00745B12">
        <w:rPr>
          <w:rFonts w:cs="Arial"/>
          <w:szCs w:val="20"/>
        </w:rPr>
        <w:t>SUBISPROFIN:</w:t>
      </w:r>
      <w:r>
        <w:rPr>
          <w:rFonts w:cs="Arial"/>
          <w:szCs w:val="20"/>
        </w:rPr>
        <w:tab/>
      </w:r>
      <w:r w:rsidRPr="00DD5D85">
        <w:rPr>
          <w:rFonts w:cs="Arial"/>
          <w:szCs w:val="20"/>
        </w:rPr>
        <w:t>5323520051</w:t>
      </w:r>
      <w:r>
        <w:rPr>
          <w:rFonts w:cs="Arial"/>
          <w:szCs w:val="20"/>
        </w:rPr>
        <w:t xml:space="preserve"> </w:t>
      </w:r>
      <w:r w:rsidRPr="00DD5D85">
        <w:rPr>
          <w:rFonts w:cs="Arial"/>
          <w:szCs w:val="20"/>
        </w:rPr>
        <w:t>/</w:t>
      </w:r>
      <w:r>
        <w:rPr>
          <w:rFonts w:cs="Arial"/>
          <w:szCs w:val="20"/>
        </w:rPr>
        <w:t xml:space="preserve"> </w:t>
      </w:r>
      <w:r w:rsidRPr="00DD5D85">
        <w:rPr>
          <w:rFonts w:cs="Arial"/>
          <w:szCs w:val="20"/>
        </w:rPr>
        <w:t>5323520051</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7B10B2">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7B10B2">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7B10B2">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7B10B2">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7B10B2">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7B10B2">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B10B2">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7B10B2">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7B10B2">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B10B2">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7B10B2">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7B10B2">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7B10B2">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7B10B2">
        <w:rPr>
          <w:rStyle w:val="Tun"/>
          <w:highlight w:val="yellow"/>
        </w:rPr>
        <w:t xml:space="preserve">[VLOŽÍ </w:t>
      </w:r>
      <w:r w:rsidR="00667FAA" w:rsidRPr="007B10B2">
        <w:rPr>
          <w:rStyle w:val="Tun"/>
          <w:highlight w:val="yellow"/>
        </w:rPr>
        <w:t>ZHOTOVITEL</w:t>
      </w:r>
      <w:r w:rsidRPr="007B10B2">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224C3A1A"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1D6DF38B"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Předmětem smlouvy je</w:t>
      </w:r>
      <w:r w:rsidR="00B9292B">
        <w:rPr>
          <w:rFonts w:ascii="Verdana" w:hAnsi="Verdana" w:cs="Arial"/>
          <w:sz w:val="18"/>
          <w:szCs w:val="18"/>
        </w:rPr>
        <w:t xml:space="preserve"> výkon činnosti a zajištění</w:t>
      </w:r>
      <w:r w:rsidR="00D769D3" w:rsidRPr="002E157C">
        <w:rPr>
          <w:rFonts w:ascii="Verdana" w:hAnsi="Verdana" w:cs="Arial"/>
          <w:sz w:val="18"/>
          <w:szCs w:val="18"/>
        </w:rPr>
        <w:t xml:space="preserve"> podpor</w:t>
      </w:r>
      <w:r w:rsidR="00B9292B">
        <w:rPr>
          <w:rFonts w:ascii="Verdana" w:hAnsi="Verdana" w:cs="Arial"/>
          <w:sz w:val="18"/>
          <w:szCs w:val="18"/>
        </w:rPr>
        <w:t>y</w:t>
      </w:r>
      <w:r w:rsidR="00D769D3" w:rsidRPr="002E157C">
        <w:rPr>
          <w:rFonts w:ascii="Verdana" w:hAnsi="Verdana" w:cs="Arial"/>
          <w:sz w:val="18"/>
          <w:szCs w:val="18"/>
        </w:rPr>
        <w:t xml:space="preserve">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w:t>
      </w:r>
      <w:r w:rsidR="00B9292B">
        <w:rPr>
          <w:rFonts w:ascii="Verdana" w:hAnsi="Verdana" w:cs="Arial"/>
          <w:sz w:val="18"/>
          <w:szCs w:val="18"/>
        </w:rPr>
        <w:t>ných</w:t>
      </w:r>
      <w:r w:rsidR="00D769D3" w:rsidRPr="002E157C">
        <w:rPr>
          <w:rFonts w:ascii="Verdana" w:hAnsi="Verdana" w:cs="Arial"/>
          <w:sz w:val="18"/>
          <w:szCs w:val="18"/>
        </w:rPr>
        <w:t xml:space="preserve"> </w:t>
      </w:r>
      <w:r w:rsidR="00B9292B">
        <w:rPr>
          <w:rFonts w:ascii="Verdana" w:hAnsi="Verdana" w:cs="Arial"/>
          <w:sz w:val="18"/>
          <w:szCs w:val="18"/>
        </w:rPr>
        <w:t>činností</w:t>
      </w:r>
      <w:r w:rsidR="00D769D3" w:rsidRPr="002E157C">
        <w:rPr>
          <w:rFonts w:ascii="Verdana" w:hAnsi="Verdana" w:cs="Arial"/>
          <w:sz w:val="18"/>
          <w:szCs w:val="18"/>
        </w:rPr>
        <w:t xml:space="preserve"> při realizaci stavby </w:t>
      </w:r>
      <w:r w:rsidR="00D769D3" w:rsidRPr="002E157C">
        <w:rPr>
          <w:rFonts w:ascii="Verdana" w:hAnsi="Verdana" w:cs="Arial"/>
          <w:b/>
          <w:sz w:val="18"/>
          <w:szCs w:val="18"/>
        </w:rPr>
        <w:t>„</w:t>
      </w:r>
      <w:r w:rsidR="007B10B2" w:rsidRPr="007B10B2">
        <w:rPr>
          <w:rFonts w:ascii="Verdana" w:hAnsi="Verdana" w:cs="Arial"/>
          <w:b/>
          <w:sz w:val="18"/>
          <w:szCs w:val="18"/>
        </w:rPr>
        <w:t>Rekonstrukce výpravní budovy ŽST Plzeň-Jižní Předměstí</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AE32F5" w:rsidRPr="00AE32F5">
        <w:rPr>
          <w:rFonts w:ascii="Verdana" w:hAnsi="Verdana" w:cs="Arial"/>
          <w:sz w:val="18"/>
          <w:szCs w:val="18"/>
        </w:rPr>
        <w:t>31</w:t>
      </w:r>
      <w:r w:rsidR="00D87D35" w:rsidRPr="00AE32F5">
        <w:rPr>
          <w:rFonts w:ascii="Verdana" w:hAnsi="Verdana" w:cs="Arial"/>
          <w:sz w:val="18"/>
          <w:szCs w:val="18"/>
        </w:rPr>
        <w:t xml:space="preserve"> měsíců.</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4FBF7383" w:rsidR="00D769D3" w:rsidRPr="00B9292B" w:rsidRDefault="00CD2157" w:rsidP="00B9292B">
      <w:pPr>
        <w:pStyle w:val="Odstavecseseznamem"/>
        <w:numPr>
          <w:ilvl w:val="0"/>
          <w:numId w:val="13"/>
        </w:numPr>
        <w:suppressAutoHyphens/>
        <w:spacing w:before="120" w:line="280" w:lineRule="exact"/>
        <w:ind w:left="709"/>
        <w:jc w:val="both"/>
        <w:rPr>
          <w:rFonts w:ascii="Verdana" w:hAnsi="Verdana" w:cs="Arial"/>
          <w:sz w:val="18"/>
          <w:szCs w:val="18"/>
        </w:rPr>
      </w:pPr>
      <w:r w:rsidRPr="00B9292B">
        <w:rPr>
          <w:rFonts w:ascii="Verdana" w:hAnsi="Verdana" w:cs="Arial"/>
          <w:sz w:val="18"/>
          <w:szCs w:val="18"/>
        </w:rPr>
        <w:t>účast na všech kontrolních</w:t>
      </w:r>
      <w:r w:rsidR="005A1B4E" w:rsidRPr="00B9292B">
        <w:rPr>
          <w:rFonts w:ascii="Verdana" w:hAnsi="Verdana" w:cs="Arial"/>
          <w:sz w:val="18"/>
          <w:szCs w:val="18"/>
        </w:rPr>
        <w:t xml:space="preserve"> dnech, výrobních výborech RDS Z</w:t>
      </w:r>
      <w:r w:rsidRPr="00B9292B">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3A26EB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r w:rsidR="00B9292B">
        <w:rPr>
          <w:rFonts w:ascii="Verdana" w:hAnsi="Verdana" w:cs="Arial"/>
          <w:sz w:val="18"/>
          <w:szCs w:val="18"/>
        </w:rPr>
        <w:t>,</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18BCEB1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r w:rsidR="00B9292B">
        <w:rPr>
          <w:rFonts w:ascii="Verdana" w:hAnsi="Verdana" w:cs="Arial"/>
          <w:sz w:val="18"/>
          <w:szCs w:val="18"/>
        </w:rPr>
        <w:t>.</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4495AD13"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r w:rsidR="00B9292B">
        <w:rPr>
          <w:rFonts w:ascii="Verdana" w:hAnsi="Verdana" w:cs="Arial"/>
          <w:sz w:val="18"/>
          <w:szCs w:val="18"/>
        </w:rPr>
        <w:t>.</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993AA8">
        <w:rPr>
          <w:rFonts w:ascii="Verdana" w:hAnsi="Verdana" w:cs="Arial"/>
          <w:bCs/>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6A690177"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r w:rsidR="00B9292B">
        <w:rPr>
          <w:rFonts w:ascii="Verdana" w:hAnsi="Verdana" w:cs="Arial"/>
          <w:sz w:val="18"/>
          <w:szCs w:val="18"/>
        </w:rPr>
        <w:t>.</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663B6A53" w:rsidR="00CD4F20" w:rsidRPr="002E157C" w:rsidRDefault="00CD4F20" w:rsidP="00B9292B">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00B9292B">
        <w:rPr>
          <w:rFonts w:ascii="Verdana" w:hAnsi="Verdana" w:cs="Arial"/>
          <w:sz w:val="18"/>
          <w:szCs w:val="18"/>
        </w:rPr>
        <w:tab/>
      </w:r>
      <w:r w:rsidRPr="002E157C">
        <w:rPr>
          <w:rFonts w:ascii="Verdana" w:hAnsi="Verdana" w:cs="Arial"/>
          <w:sz w:val="18"/>
          <w:szCs w:val="18"/>
        </w:rPr>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52A0C7D6"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w:t>
      </w:r>
      <w:r w:rsidR="00B9292B">
        <w:rPr>
          <w:rFonts w:ascii="Verdana" w:hAnsi="Verdana" w:cs="Arial"/>
          <w:sz w:val="18"/>
          <w:szCs w:val="18"/>
        </w:rPr>
        <w:tab/>
      </w:r>
      <w:r w:rsidRPr="002E157C">
        <w:rPr>
          <w:rFonts w:ascii="Verdana" w:hAnsi="Verdana" w:cs="Arial"/>
          <w:sz w:val="18"/>
          <w:szCs w:val="18"/>
        </w:rPr>
        <w:t xml:space="preserve">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1F389F">
      <w:pPr>
        <w:pStyle w:val="Odstavecseseznamem"/>
        <w:numPr>
          <w:ilvl w:val="1"/>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1F389F">
      <w:pPr>
        <w:pStyle w:val="Odstavecseseznamem"/>
        <w:numPr>
          <w:ilvl w:val="1"/>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1F6CE2DB"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7AC9E375" w:rsidR="00CB78AC" w:rsidRPr="002E157C" w:rsidRDefault="00CB78AC" w:rsidP="00D90D85">
      <w:pPr>
        <w:numPr>
          <w:ilvl w:val="0"/>
          <w:numId w:val="5"/>
        </w:numPr>
        <w:suppressAutoHyphens/>
        <w:spacing w:after="60" w:line="280" w:lineRule="exact"/>
        <w:ind w:left="1418"/>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E10B8C" w:rsidRPr="00E10B8C">
        <w:rPr>
          <w:rFonts w:ascii="Verdana" w:hAnsi="Verdana" w:cs="Arial"/>
          <w:sz w:val="18"/>
          <w:szCs w:val="18"/>
        </w:rPr>
        <w:t>2620/2025-SŽ-SSZ-OVZ</w:t>
      </w:r>
      <w:r w:rsidR="003674FD">
        <w:rPr>
          <w:rFonts w:ascii="Verdana" w:hAnsi="Verdana" w:cs="Arial"/>
          <w:sz w:val="18"/>
          <w:szCs w:val="18"/>
        </w:rPr>
        <w:t xml:space="preserve"> </w:t>
      </w:r>
      <w:r w:rsidRPr="002E157C">
        <w:rPr>
          <w:rFonts w:ascii="Verdana" w:hAnsi="Verdana" w:cs="Arial"/>
          <w:sz w:val="18"/>
          <w:szCs w:val="18"/>
        </w:rPr>
        <w:t xml:space="preserve">ze dne </w:t>
      </w:r>
      <w:r w:rsidR="00B947A1">
        <w:rPr>
          <w:rFonts w:ascii="Verdana" w:hAnsi="Verdana" w:cs="Arial"/>
          <w:sz w:val="18"/>
          <w:szCs w:val="18"/>
        </w:rPr>
        <w:t>12.02.2025</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D90D85">
      <w:pPr>
        <w:numPr>
          <w:ilvl w:val="0"/>
          <w:numId w:val="5"/>
        </w:numPr>
        <w:suppressAutoHyphens/>
        <w:spacing w:after="60" w:line="280" w:lineRule="exact"/>
        <w:ind w:left="1418" w:hanging="142"/>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1929B891"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w:t>
      </w:r>
      <w:r w:rsidRPr="002E157C">
        <w:rPr>
          <w:rFonts w:ascii="Verdana" w:hAnsi="Verdana" w:cs="Arial"/>
          <w:sz w:val="18"/>
          <w:szCs w:val="18"/>
        </w:rPr>
        <w:t xml:space="preserve"> v platném znění</w:t>
      </w:r>
    </w:p>
    <w:p w14:paraId="033D7FA1" w14:textId="22C695EB"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6E903F47"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w:t>
      </w:r>
      <w:r w:rsidR="00E21B9D" w:rsidRPr="002E157C">
        <w:rPr>
          <w:rFonts w:ascii="Verdana" w:hAnsi="Verdana" w:cs="Arial"/>
          <w:sz w:val="18"/>
          <w:szCs w:val="18"/>
        </w:rPr>
        <w:lastRenderedPageBreak/>
        <w:t xml:space="preserve">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64719958"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0DA3CAE2"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77DAC6C3"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872D35" w:rsidRPr="00BB566F">
        <w:rPr>
          <w:rFonts w:ascii="Verdana" w:hAnsi="Verdana" w:cs="Arial"/>
          <w:sz w:val="18"/>
          <w:szCs w:val="18"/>
        </w:rPr>
        <w:t xml:space="preserve">60 </w:t>
      </w:r>
      <w:r w:rsidRPr="00BB566F">
        <w:rPr>
          <w:rFonts w:ascii="Verdana" w:hAnsi="Verdana" w:cs="Arial"/>
          <w:sz w:val="18"/>
          <w:szCs w:val="18"/>
        </w:rPr>
        <w:t>dnů</w:t>
      </w:r>
      <w:r w:rsidRPr="002E157C">
        <w:rPr>
          <w:rFonts w:ascii="Verdana" w:hAnsi="Verdana" w:cs="Arial"/>
          <w:sz w:val="18"/>
          <w:szCs w:val="18"/>
        </w:rPr>
        <w:t xml:space="preserve"> od dokončení realizace stavby </w:t>
      </w:r>
      <w:r w:rsidR="007B7403">
        <w:rPr>
          <w:rFonts w:ascii="Verdana" w:hAnsi="Verdana" w:cs="Arial"/>
          <w:sz w:val="18"/>
          <w:szCs w:val="18"/>
        </w:rPr>
        <w:t>(předpoklad 0</w:t>
      </w:r>
      <w:r w:rsidR="0034331A">
        <w:rPr>
          <w:rFonts w:ascii="Verdana" w:hAnsi="Verdana" w:cs="Arial"/>
          <w:sz w:val="18"/>
          <w:szCs w:val="18"/>
        </w:rPr>
        <w:t>8</w:t>
      </w:r>
      <w:r w:rsidR="007B7403">
        <w:rPr>
          <w:rFonts w:ascii="Verdana" w:hAnsi="Verdana" w:cs="Arial"/>
          <w:sz w:val="18"/>
          <w:szCs w:val="18"/>
        </w:rPr>
        <w:t>/202</w:t>
      </w:r>
      <w:r w:rsidR="0034331A">
        <w:rPr>
          <w:rFonts w:ascii="Verdana" w:hAnsi="Verdana" w:cs="Arial"/>
          <w:sz w:val="18"/>
          <w:szCs w:val="18"/>
        </w:rPr>
        <w:t>7</w:t>
      </w:r>
      <w:r w:rsidR="007B7403">
        <w:rPr>
          <w:rFonts w:ascii="Verdana" w:hAnsi="Verdana" w:cs="Arial"/>
          <w:sz w:val="18"/>
          <w:szCs w:val="18"/>
        </w:rPr>
        <w:t>)</w:t>
      </w:r>
    </w:p>
    <w:p w14:paraId="75AC956A" w14:textId="72467D2E"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F11BF2" w:rsidRPr="00F11BF2">
        <w:rPr>
          <w:rFonts w:ascii="Verdana" w:hAnsi="Verdana" w:cs="Arial"/>
          <w:sz w:val="18"/>
          <w:szCs w:val="18"/>
        </w:rPr>
        <w:t>Rekonstrukce výpravní budovy ŽST Plzeň-Jižní Předměstí</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6A4B0E79"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007B7403">
        <w:rPr>
          <w:rFonts w:ascii="Verdana" w:hAnsi="Verdana" w:cs="Arial"/>
          <w:b/>
          <w:sz w:val="18"/>
          <w:szCs w:val="18"/>
        </w:rPr>
        <w:tab/>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4D2027">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4060C0A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4D2027">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0A5607DA"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4D2027">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D4E8C83" w:rsidR="000D5824" w:rsidRPr="002E157C" w:rsidRDefault="00D00187" w:rsidP="007E081F">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161D032A"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71284545"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4D2027">
        <w:rPr>
          <w:rFonts w:ascii="Verdana" w:hAnsi="Verdana" w:cs="Arial"/>
          <w:sz w:val="18"/>
          <w:szCs w:val="18"/>
        </w:rPr>
        <w:t>Mgr. Leoš Forman</w:t>
      </w:r>
      <w:r w:rsidR="000F6C09" w:rsidRPr="002E157C">
        <w:rPr>
          <w:rFonts w:ascii="Verdana" w:hAnsi="Verdana" w:cs="Arial"/>
          <w:sz w:val="18"/>
          <w:szCs w:val="18"/>
        </w:rPr>
        <w:t>,</w:t>
      </w:r>
      <w:r w:rsidRPr="002E157C">
        <w:rPr>
          <w:rFonts w:ascii="Verdana" w:hAnsi="Verdana" w:cs="Arial"/>
          <w:sz w:val="18"/>
          <w:szCs w:val="18"/>
        </w:rPr>
        <w:t xml:space="preserve"> GSM: </w:t>
      </w:r>
      <w:r w:rsidR="004D2027">
        <w:rPr>
          <w:rFonts w:ascii="Verdana" w:hAnsi="Verdana" w:cs="Arial"/>
          <w:sz w:val="18"/>
          <w:szCs w:val="18"/>
        </w:rPr>
        <w:t>+420 601 124 417</w:t>
      </w:r>
      <w:r w:rsidRPr="002E157C">
        <w:rPr>
          <w:rFonts w:ascii="Verdana" w:hAnsi="Verdana" w:cs="Arial"/>
          <w:sz w:val="18"/>
          <w:szCs w:val="18"/>
        </w:rPr>
        <w:t xml:space="preserve">, e-mail: </w:t>
      </w:r>
      <w:r w:rsidR="004D2027">
        <w:rPr>
          <w:rFonts w:ascii="Verdana" w:hAnsi="Verdana" w:cs="Arial"/>
          <w:sz w:val="18"/>
          <w:szCs w:val="18"/>
        </w:rPr>
        <w:t>FormanL@spravazeleznic.cz</w:t>
      </w:r>
      <w:r w:rsidR="00C915F2">
        <w:rPr>
          <w:rFonts w:ascii="Verdana" w:hAnsi="Verdana" w:cs="Arial"/>
          <w:sz w:val="18"/>
          <w:szCs w:val="18"/>
        </w:rPr>
        <w:t>.</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62EB172D"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5C3E4612"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Pr="00BB566F">
        <w:rPr>
          <w:rFonts w:ascii="Verdana" w:hAnsi="Verdana" w:cs="Arial"/>
          <w:sz w:val="18"/>
          <w:szCs w:val="18"/>
        </w:rPr>
        <w:t xml:space="preserve">Objednatel je oprávněn zadržet z každé fakturované částky za provádění činnosti </w:t>
      </w:r>
      <w:r w:rsidR="007A02D0" w:rsidRPr="00BB566F">
        <w:rPr>
          <w:rFonts w:ascii="Verdana" w:hAnsi="Verdana" w:cs="Arial"/>
          <w:sz w:val="18"/>
          <w:szCs w:val="18"/>
        </w:rPr>
        <w:t>Zhotovitelem</w:t>
      </w:r>
      <w:r w:rsidRPr="00BB566F">
        <w:rPr>
          <w:rFonts w:ascii="Verdana" w:hAnsi="Verdana" w:cs="Arial"/>
          <w:sz w:val="18"/>
          <w:szCs w:val="18"/>
        </w:rPr>
        <w:t xml:space="preserve"> částku ve výši 10% z částky uvedené na příslušném daňovém dokladu k zajištění povinnosti Zhotovitele</w:t>
      </w:r>
      <w:r w:rsidR="00F31AA4" w:rsidRPr="00BB566F">
        <w:rPr>
          <w:rFonts w:ascii="Verdana" w:hAnsi="Verdana" w:cs="Arial"/>
          <w:sz w:val="18"/>
          <w:szCs w:val="18"/>
        </w:rPr>
        <w:t xml:space="preserve"> z této smlouvy</w:t>
      </w:r>
      <w:r w:rsidR="00DC1F2B" w:rsidRPr="00BB566F">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5066D647"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0E908BCC"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4D2027">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781D018C"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lastRenderedPageBreak/>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w:t>
      </w:r>
      <w:r w:rsidR="0033438B" w:rsidRPr="002E157C">
        <w:rPr>
          <w:rFonts w:ascii="Verdana" w:hAnsi="Verdana" w:cs="Arial"/>
          <w:sz w:val="18"/>
          <w:szCs w:val="18"/>
        </w:rPr>
        <w:lastRenderedPageBreak/>
        <w:t xml:space="preserve">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lastRenderedPageBreak/>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390890">
        <w:rPr>
          <w:rFonts w:ascii="Verdana" w:hAnsi="Verdana" w:cs="Arial"/>
          <w:b/>
          <w:bCs/>
          <w:sz w:val="18"/>
          <w:szCs w:val="18"/>
          <w:highlight w:val="yellow"/>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06B193C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1D3226B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.3 Objednatel oznámí Zhotoviteli požadavek na provedení exkurze minimálně 45 dní před požadovaným termínem konání exkurze. Zhotovitel nejméně 30 dní před </w:t>
      </w:r>
      <w:r w:rsidRPr="00DF30A2">
        <w:rPr>
          <w:rFonts w:ascii="Verdana" w:hAnsi="Verdana" w:cs="Arial"/>
          <w:sz w:val="18"/>
          <w:szCs w:val="18"/>
        </w:rPr>
        <w:lastRenderedPageBreak/>
        <w:t>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ECDE869"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1CDD5DE2"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F389F">
        <w:rPr>
          <w:rFonts w:ascii="Verdana" w:hAnsi="Verdana" w:cs="Arial"/>
          <w:b/>
          <w:bCs/>
          <w:sz w:val="18"/>
          <w:szCs w:val="18"/>
          <w:highlight w:val="yellow"/>
        </w:rPr>
        <w:t>[VLOŽÍ ZHOTOVITEL].</w:t>
      </w:r>
    </w:p>
    <w:p w14:paraId="6C67097E" w14:textId="6C592862"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 xml:space="preserve">.6. </w:t>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w:t>
      </w:r>
      <w:r w:rsidRPr="002E157C">
        <w:rPr>
          <w:rFonts w:ascii="Verdana" w:hAnsi="Verdana" w:cs="Arial"/>
          <w:sz w:val="18"/>
          <w:szCs w:val="18"/>
        </w:rPr>
        <w:lastRenderedPageBreak/>
        <w:t xml:space="preserve">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6DCC5BDC" w:rsidR="003F656B" w:rsidRPr="002E157C" w:rsidRDefault="00483D1D" w:rsidP="007E081F">
      <w:pPr>
        <w:spacing w:after="24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3F4052FC"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 xml:space="preserve">dokladů souvisejících </w:t>
      </w:r>
      <w:r w:rsidR="00C12D0D" w:rsidRPr="002E157C">
        <w:rPr>
          <w:rFonts w:ascii="Verdana" w:hAnsi="Verdana" w:cs="Arial"/>
          <w:bCs/>
          <w:sz w:val="18"/>
          <w:szCs w:val="18"/>
        </w:rPr>
        <w:lastRenderedPageBreak/>
        <w:t>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617993"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w:t>
      </w:r>
      <w:r w:rsidRPr="002E157C">
        <w:rPr>
          <w:rFonts w:ascii="Verdana" w:hAnsi="Verdana" w:cs="Arial"/>
          <w:sz w:val="18"/>
          <w:szCs w:val="18"/>
        </w:rPr>
        <w:lastRenderedPageBreak/>
        <w:t xml:space="preserve">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07D26F2E"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0BFC79A5" w:rsidR="00D54F79" w:rsidRDefault="00D54F79" w:rsidP="00D00187">
      <w:pPr>
        <w:tabs>
          <w:tab w:val="left" w:pos="567"/>
        </w:tabs>
        <w:suppressAutoHyphens/>
        <w:spacing w:line="280" w:lineRule="exact"/>
        <w:ind w:left="567"/>
        <w:jc w:val="both"/>
        <w:rPr>
          <w:rFonts w:ascii="Verdana" w:hAnsi="Verdana" w:cs="Arial"/>
          <w:b/>
          <w:bCs/>
          <w:sz w:val="18"/>
          <w:szCs w:val="18"/>
        </w:rPr>
      </w:pPr>
    </w:p>
    <w:p w14:paraId="652D6421" w14:textId="451FD4B2" w:rsidR="00D00187" w:rsidRPr="002E157C" w:rsidRDefault="00D54F79" w:rsidP="00D54F79">
      <w:pPr>
        <w:rPr>
          <w:rFonts w:ascii="Verdana" w:hAnsi="Verdana" w:cs="Arial"/>
          <w:b/>
          <w:bCs/>
          <w:sz w:val="18"/>
          <w:szCs w:val="18"/>
        </w:rPr>
      </w:pPr>
      <w:r>
        <w:rPr>
          <w:rFonts w:ascii="Verdana" w:hAnsi="Verdana" w:cs="Arial"/>
          <w:b/>
          <w:bCs/>
          <w:sz w:val="18"/>
          <w:szCs w:val="18"/>
        </w:rPr>
        <w:br w:type="page"/>
      </w:r>
      <w:r w:rsidR="00D00187"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C72BE4" w:rsidRDefault="001805DB" w:rsidP="001805DB">
            <w:pPr>
              <w:spacing w:after="120"/>
              <w:rPr>
                <w:rFonts w:ascii="Verdana" w:eastAsia="Calibri" w:hAnsi="Verdana" w:cs="Calibri"/>
                <w:b/>
                <w:sz w:val="18"/>
                <w:szCs w:val="18"/>
                <w:highlight w:val="yellow"/>
              </w:rPr>
            </w:pPr>
            <w:r w:rsidRPr="00C72BE4">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C72BE4" w:rsidRDefault="001805DB" w:rsidP="001805DB">
            <w:pPr>
              <w:rPr>
                <w:rFonts w:ascii="Verdana" w:hAnsi="Verdana"/>
                <w:sz w:val="18"/>
                <w:szCs w:val="18"/>
                <w:highlight w:val="yellow"/>
              </w:rPr>
            </w:pPr>
            <w:r w:rsidRPr="00C72BE4">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C72BE4" w:rsidRDefault="001805DB" w:rsidP="001805DB">
            <w:pPr>
              <w:spacing w:after="120"/>
              <w:rPr>
                <w:rFonts w:ascii="Verdana" w:eastAsia="Calibri" w:hAnsi="Verdana" w:cs="Calibri"/>
                <w:b/>
                <w:sz w:val="18"/>
                <w:szCs w:val="18"/>
                <w:highlight w:val="yellow"/>
              </w:rPr>
            </w:pPr>
            <w:r w:rsidRPr="00C72BE4">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C72BE4" w:rsidRDefault="001805DB" w:rsidP="001805DB">
            <w:pPr>
              <w:rPr>
                <w:rFonts w:ascii="Verdana" w:hAnsi="Verdana"/>
                <w:sz w:val="18"/>
                <w:szCs w:val="18"/>
                <w:highlight w:val="yellow"/>
              </w:rPr>
            </w:pPr>
            <w:r w:rsidRPr="00C72BE4">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C72BE4" w:rsidRDefault="001805DB" w:rsidP="001805DB">
            <w:pPr>
              <w:spacing w:after="120"/>
              <w:rPr>
                <w:rFonts w:ascii="Verdana" w:eastAsia="Calibri" w:hAnsi="Verdana" w:cs="Calibri"/>
                <w:b/>
                <w:sz w:val="18"/>
                <w:szCs w:val="18"/>
                <w:highlight w:val="yellow"/>
              </w:rPr>
            </w:pPr>
            <w:r w:rsidRPr="00C72BE4">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C72BE4" w:rsidRDefault="001805DB" w:rsidP="001805DB">
            <w:pPr>
              <w:rPr>
                <w:rFonts w:ascii="Verdana" w:hAnsi="Verdana"/>
                <w:sz w:val="18"/>
                <w:szCs w:val="18"/>
                <w:highlight w:val="yellow"/>
              </w:rPr>
            </w:pPr>
            <w:r w:rsidRPr="00C72BE4">
              <w:rPr>
                <w:rFonts w:ascii="Verdana" w:hAnsi="Verdana" w:cs="Arial"/>
                <w:b/>
                <w:bCs/>
                <w:sz w:val="18"/>
                <w:szCs w:val="18"/>
                <w:highlight w:val="yellow"/>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7123BA1E" w:rsidR="00D00187" w:rsidRPr="002E157C" w:rsidRDefault="00D00187"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C72BE4">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D54F79">
      <w:pPr>
        <w:tabs>
          <w:tab w:val="left" w:pos="567"/>
        </w:tabs>
        <w:suppressAutoHyphens/>
        <w:spacing w:line="280" w:lineRule="exact"/>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9206F" w14:textId="77777777" w:rsidR="002958E0" w:rsidRDefault="002958E0">
      <w:r>
        <w:separator/>
      </w:r>
    </w:p>
  </w:endnote>
  <w:endnote w:type="continuationSeparator" w:id="0">
    <w:p w14:paraId="3CFC928F" w14:textId="77777777" w:rsidR="002958E0" w:rsidRDefault="0029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70B13878"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B947A1">
            <w:rPr>
              <w:rStyle w:val="slostrnky"/>
              <w:noProof/>
              <w:sz w:val="16"/>
            </w:rPr>
            <w:t>22</w:t>
          </w:r>
          <w:r w:rsidRPr="002E157C">
            <w:rPr>
              <w:rStyle w:val="slostrnky"/>
              <w:sz w:val="16"/>
            </w:rPr>
            <w:fldChar w:fldCharType="end"/>
          </w:r>
        </w:p>
      </w:tc>
      <w:tc>
        <w:tcPr>
          <w:tcW w:w="0" w:type="auto"/>
          <w:vAlign w:val="bottom"/>
        </w:tcPr>
        <w:p w14:paraId="0F8F3302" w14:textId="7C5E2EA7" w:rsidR="00B755E5" w:rsidRPr="002E157C" w:rsidRDefault="00B755E5" w:rsidP="00936A82">
          <w:pPr>
            <w:pStyle w:val="Zpatvlevo"/>
          </w:pPr>
          <w:r w:rsidRPr="002E157C">
            <w:t>„</w:t>
          </w:r>
          <w:r w:rsidR="00612A64" w:rsidRPr="00612A64">
            <w:t>Rekonstrukce výpravní budovy ŽST Plzeň-Jižní Předměstí</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47A4C6B6" w:rsidR="00B755E5" w:rsidRPr="008E1902" w:rsidRDefault="00C17844" w:rsidP="008E1902">
    <w:pPr>
      <w:pStyle w:val="Zpat"/>
      <w:rPr>
        <w:rFonts w:ascii="Verdana" w:hAnsi="Verdana"/>
        <w:sz w:val="12"/>
        <w:szCs w:val="12"/>
      </w:rPr>
    </w:pPr>
    <w:r w:rsidRPr="004C7962">
      <w:rPr>
        <w:noProof/>
      </w:rPr>
      <w:drawing>
        <wp:inline distT="0" distB="0" distL="0" distR="0" wp14:anchorId="17680F15" wp14:editId="0E175FBD">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1F2C1" w14:textId="77777777" w:rsidR="002958E0" w:rsidRDefault="002958E0">
      <w:r>
        <w:separator/>
      </w:r>
    </w:p>
  </w:footnote>
  <w:footnote w:type="continuationSeparator" w:id="0">
    <w:p w14:paraId="0504D215" w14:textId="77777777" w:rsidR="002958E0" w:rsidRDefault="00295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1598" w:hanging="180"/>
      </w:pPr>
    </w:lvl>
    <w:lvl w:ilvl="1" w:tplc="04050019">
      <w:start w:val="1"/>
      <w:numFmt w:val="lowerLetter"/>
      <w:lvlText w:val="%2."/>
      <w:lvlJc w:val="left"/>
      <w:pPr>
        <w:ind w:left="2318" w:hanging="360"/>
      </w:pPr>
    </w:lvl>
    <w:lvl w:ilvl="2" w:tplc="0405001B">
      <w:start w:val="1"/>
      <w:numFmt w:val="lowerRoman"/>
      <w:lvlText w:val="%3."/>
      <w:lvlJc w:val="right"/>
      <w:pPr>
        <w:ind w:left="3038" w:hanging="180"/>
      </w:pPr>
    </w:lvl>
    <w:lvl w:ilvl="3" w:tplc="0405000F" w:tentative="1">
      <w:start w:val="1"/>
      <w:numFmt w:val="decimal"/>
      <w:lvlText w:val="%4."/>
      <w:lvlJc w:val="left"/>
      <w:pPr>
        <w:ind w:left="3758" w:hanging="360"/>
      </w:pPr>
    </w:lvl>
    <w:lvl w:ilvl="4" w:tplc="04050019" w:tentative="1">
      <w:start w:val="1"/>
      <w:numFmt w:val="lowerLetter"/>
      <w:lvlText w:val="%5."/>
      <w:lvlJc w:val="left"/>
      <w:pPr>
        <w:ind w:left="4478" w:hanging="360"/>
      </w:pPr>
    </w:lvl>
    <w:lvl w:ilvl="5" w:tplc="0405001B" w:tentative="1">
      <w:start w:val="1"/>
      <w:numFmt w:val="lowerRoman"/>
      <w:lvlText w:val="%6."/>
      <w:lvlJc w:val="right"/>
      <w:pPr>
        <w:ind w:left="5198" w:hanging="180"/>
      </w:pPr>
    </w:lvl>
    <w:lvl w:ilvl="6" w:tplc="0405000F" w:tentative="1">
      <w:start w:val="1"/>
      <w:numFmt w:val="decimal"/>
      <w:lvlText w:val="%7."/>
      <w:lvlJc w:val="left"/>
      <w:pPr>
        <w:ind w:left="5918" w:hanging="360"/>
      </w:pPr>
    </w:lvl>
    <w:lvl w:ilvl="7" w:tplc="04050019" w:tentative="1">
      <w:start w:val="1"/>
      <w:numFmt w:val="lowerLetter"/>
      <w:lvlText w:val="%8."/>
      <w:lvlJc w:val="left"/>
      <w:pPr>
        <w:ind w:left="6638" w:hanging="360"/>
      </w:pPr>
    </w:lvl>
    <w:lvl w:ilvl="8" w:tplc="0405001B" w:tentative="1">
      <w:start w:val="1"/>
      <w:numFmt w:val="lowerRoman"/>
      <w:lvlText w:val="%9."/>
      <w:lvlJc w:val="right"/>
      <w:pPr>
        <w:ind w:left="7358"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48" w:hanging="360"/>
      </w:pPr>
      <w:rPr>
        <w:rFonts w:ascii="Symbol" w:hAnsi="Symbol" w:hint="default"/>
      </w:rPr>
    </w:lvl>
    <w:lvl w:ilvl="1" w:tplc="04050003" w:tentative="1">
      <w:start w:val="1"/>
      <w:numFmt w:val="bullet"/>
      <w:lvlText w:val="o"/>
      <w:lvlJc w:val="left"/>
      <w:pPr>
        <w:ind w:left="1668" w:hanging="360"/>
      </w:pPr>
      <w:rPr>
        <w:rFonts w:ascii="Courier New" w:hAnsi="Courier New" w:cs="Courier New" w:hint="default"/>
      </w:rPr>
    </w:lvl>
    <w:lvl w:ilvl="2" w:tplc="04050005" w:tentative="1">
      <w:start w:val="1"/>
      <w:numFmt w:val="bullet"/>
      <w:lvlText w:val=""/>
      <w:lvlJc w:val="left"/>
      <w:pPr>
        <w:ind w:left="2388" w:hanging="360"/>
      </w:pPr>
      <w:rPr>
        <w:rFonts w:ascii="Wingdings" w:hAnsi="Wingdings" w:hint="default"/>
      </w:rPr>
    </w:lvl>
    <w:lvl w:ilvl="3" w:tplc="04050001" w:tentative="1">
      <w:start w:val="1"/>
      <w:numFmt w:val="bullet"/>
      <w:lvlText w:val=""/>
      <w:lvlJc w:val="left"/>
      <w:pPr>
        <w:ind w:left="3108" w:hanging="360"/>
      </w:pPr>
      <w:rPr>
        <w:rFonts w:ascii="Symbol" w:hAnsi="Symbol" w:hint="default"/>
      </w:rPr>
    </w:lvl>
    <w:lvl w:ilvl="4" w:tplc="04050003" w:tentative="1">
      <w:start w:val="1"/>
      <w:numFmt w:val="bullet"/>
      <w:lvlText w:val="o"/>
      <w:lvlJc w:val="left"/>
      <w:pPr>
        <w:ind w:left="3828" w:hanging="360"/>
      </w:pPr>
      <w:rPr>
        <w:rFonts w:ascii="Courier New" w:hAnsi="Courier New" w:cs="Courier New" w:hint="default"/>
      </w:rPr>
    </w:lvl>
    <w:lvl w:ilvl="5" w:tplc="04050005" w:tentative="1">
      <w:start w:val="1"/>
      <w:numFmt w:val="bullet"/>
      <w:lvlText w:val=""/>
      <w:lvlJc w:val="left"/>
      <w:pPr>
        <w:ind w:left="4548" w:hanging="360"/>
      </w:pPr>
      <w:rPr>
        <w:rFonts w:ascii="Wingdings" w:hAnsi="Wingdings" w:hint="default"/>
      </w:rPr>
    </w:lvl>
    <w:lvl w:ilvl="6" w:tplc="04050001" w:tentative="1">
      <w:start w:val="1"/>
      <w:numFmt w:val="bullet"/>
      <w:lvlText w:val=""/>
      <w:lvlJc w:val="left"/>
      <w:pPr>
        <w:ind w:left="5268" w:hanging="360"/>
      </w:pPr>
      <w:rPr>
        <w:rFonts w:ascii="Symbol" w:hAnsi="Symbol" w:hint="default"/>
      </w:rPr>
    </w:lvl>
    <w:lvl w:ilvl="7" w:tplc="04050003" w:tentative="1">
      <w:start w:val="1"/>
      <w:numFmt w:val="bullet"/>
      <w:lvlText w:val="o"/>
      <w:lvlJc w:val="left"/>
      <w:pPr>
        <w:ind w:left="5988" w:hanging="360"/>
      </w:pPr>
      <w:rPr>
        <w:rFonts w:ascii="Courier New" w:hAnsi="Courier New" w:cs="Courier New" w:hint="default"/>
      </w:rPr>
    </w:lvl>
    <w:lvl w:ilvl="8" w:tplc="04050005" w:tentative="1">
      <w:start w:val="1"/>
      <w:numFmt w:val="bullet"/>
      <w:lvlText w:val=""/>
      <w:lvlJc w:val="left"/>
      <w:pPr>
        <w:ind w:left="670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87B2757"/>
    <w:multiLevelType w:val="hybridMultilevel"/>
    <w:tmpl w:val="C1989B9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2"/>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1"/>
  </w:num>
  <w:num w:numId="12" w16cid:durableId="1753502197">
    <w:abstractNumId w:val="6"/>
  </w:num>
  <w:num w:numId="13" w16cid:durableId="196892878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4E19"/>
    <w:rsid w:val="00006937"/>
    <w:rsid w:val="00006B04"/>
    <w:rsid w:val="0000772E"/>
    <w:rsid w:val="00010305"/>
    <w:rsid w:val="00010322"/>
    <w:rsid w:val="000111D5"/>
    <w:rsid w:val="000117A5"/>
    <w:rsid w:val="000123B4"/>
    <w:rsid w:val="00012BB9"/>
    <w:rsid w:val="00013755"/>
    <w:rsid w:val="00021000"/>
    <w:rsid w:val="00021567"/>
    <w:rsid w:val="0003104C"/>
    <w:rsid w:val="00031071"/>
    <w:rsid w:val="00031620"/>
    <w:rsid w:val="00033A17"/>
    <w:rsid w:val="00034E29"/>
    <w:rsid w:val="00040544"/>
    <w:rsid w:val="00046F12"/>
    <w:rsid w:val="00047FB6"/>
    <w:rsid w:val="0005097B"/>
    <w:rsid w:val="00051570"/>
    <w:rsid w:val="00052AD0"/>
    <w:rsid w:val="00053771"/>
    <w:rsid w:val="00053D03"/>
    <w:rsid w:val="00056001"/>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97AB0"/>
    <w:rsid w:val="000A0198"/>
    <w:rsid w:val="000A02DB"/>
    <w:rsid w:val="000A0B2E"/>
    <w:rsid w:val="000A12AF"/>
    <w:rsid w:val="000A1940"/>
    <w:rsid w:val="000A24E8"/>
    <w:rsid w:val="000A2806"/>
    <w:rsid w:val="000A35E5"/>
    <w:rsid w:val="000A6F53"/>
    <w:rsid w:val="000A7689"/>
    <w:rsid w:val="000B1644"/>
    <w:rsid w:val="000B17B2"/>
    <w:rsid w:val="000B227B"/>
    <w:rsid w:val="000B53C2"/>
    <w:rsid w:val="000B66D3"/>
    <w:rsid w:val="000B6F15"/>
    <w:rsid w:val="000C381D"/>
    <w:rsid w:val="000C4DBD"/>
    <w:rsid w:val="000C729F"/>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4A8E"/>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3C0F"/>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1178"/>
    <w:rsid w:val="001C1C0E"/>
    <w:rsid w:val="001C1FA9"/>
    <w:rsid w:val="001C2772"/>
    <w:rsid w:val="001C34D9"/>
    <w:rsid w:val="001C6493"/>
    <w:rsid w:val="001C779A"/>
    <w:rsid w:val="001D4ED9"/>
    <w:rsid w:val="001D4F34"/>
    <w:rsid w:val="001D5D7B"/>
    <w:rsid w:val="001D637E"/>
    <w:rsid w:val="001E07FC"/>
    <w:rsid w:val="001E1614"/>
    <w:rsid w:val="001E21AA"/>
    <w:rsid w:val="001F1583"/>
    <w:rsid w:val="001F21EC"/>
    <w:rsid w:val="001F339E"/>
    <w:rsid w:val="001F3860"/>
    <w:rsid w:val="001F389F"/>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5562"/>
    <w:rsid w:val="00216F22"/>
    <w:rsid w:val="002179F1"/>
    <w:rsid w:val="00217AB2"/>
    <w:rsid w:val="00220929"/>
    <w:rsid w:val="00220B26"/>
    <w:rsid w:val="0022359F"/>
    <w:rsid w:val="0022370E"/>
    <w:rsid w:val="00224A90"/>
    <w:rsid w:val="002275D6"/>
    <w:rsid w:val="00230849"/>
    <w:rsid w:val="00231DEB"/>
    <w:rsid w:val="00236857"/>
    <w:rsid w:val="002407AE"/>
    <w:rsid w:val="00243955"/>
    <w:rsid w:val="00246CDC"/>
    <w:rsid w:val="00246DF9"/>
    <w:rsid w:val="00247A48"/>
    <w:rsid w:val="00251FC2"/>
    <w:rsid w:val="00252194"/>
    <w:rsid w:val="00253D63"/>
    <w:rsid w:val="00253E66"/>
    <w:rsid w:val="00255432"/>
    <w:rsid w:val="002600DF"/>
    <w:rsid w:val="0026305A"/>
    <w:rsid w:val="00265088"/>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958E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536"/>
    <w:rsid w:val="002D2D3E"/>
    <w:rsid w:val="002D4E39"/>
    <w:rsid w:val="002D5381"/>
    <w:rsid w:val="002D7B81"/>
    <w:rsid w:val="002E157C"/>
    <w:rsid w:val="002E1BE1"/>
    <w:rsid w:val="002E7069"/>
    <w:rsid w:val="002E76B5"/>
    <w:rsid w:val="002E7A98"/>
    <w:rsid w:val="002F04E1"/>
    <w:rsid w:val="002F07D0"/>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331A"/>
    <w:rsid w:val="0034571B"/>
    <w:rsid w:val="00347715"/>
    <w:rsid w:val="0035169E"/>
    <w:rsid w:val="0035296A"/>
    <w:rsid w:val="00353404"/>
    <w:rsid w:val="00356DD8"/>
    <w:rsid w:val="00357196"/>
    <w:rsid w:val="003636BE"/>
    <w:rsid w:val="003649F6"/>
    <w:rsid w:val="00364C4E"/>
    <w:rsid w:val="00364D95"/>
    <w:rsid w:val="00365379"/>
    <w:rsid w:val="0036660C"/>
    <w:rsid w:val="003674FD"/>
    <w:rsid w:val="00370821"/>
    <w:rsid w:val="00373C99"/>
    <w:rsid w:val="003767AB"/>
    <w:rsid w:val="003773DB"/>
    <w:rsid w:val="00382683"/>
    <w:rsid w:val="00382ED7"/>
    <w:rsid w:val="00383697"/>
    <w:rsid w:val="0038385A"/>
    <w:rsid w:val="00383B67"/>
    <w:rsid w:val="00386A80"/>
    <w:rsid w:val="0038720E"/>
    <w:rsid w:val="0038740D"/>
    <w:rsid w:val="00387B62"/>
    <w:rsid w:val="0039014B"/>
    <w:rsid w:val="0039062C"/>
    <w:rsid w:val="00390890"/>
    <w:rsid w:val="00392528"/>
    <w:rsid w:val="00392771"/>
    <w:rsid w:val="00392F98"/>
    <w:rsid w:val="0039514F"/>
    <w:rsid w:val="00396095"/>
    <w:rsid w:val="00396AF3"/>
    <w:rsid w:val="00396FBA"/>
    <w:rsid w:val="003974B4"/>
    <w:rsid w:val="003A0F62"/>
    <w:rsid w:val="003A1B26"/>
    <w:rsid w:val="003A25D2"/>
    <w:rsid w:val="003A2EE2"/>
    <w:rsid w:val="003A330F"/>
    <w:rsid w:val="003A344D"/>
    <w:rsid w:val="003A564B"/>
    <w:rsid w:val="003A5DFE"/>
    <w:rsid w:val="003A6A40"/>
    <w:rsid w:val="003B1B75"/>
    <w:rsid w:val="003B3C98"/>
    <w:rsid w:val="003B67C3"/>
    <w:rsid w:val="003B788C"/>
    <w:rsid w:val="003D07FA"/>
    <w:rsid w:val="003D27E9"/>
    <w:rsid w:val="003D6A5C"/>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0A3"/>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6D02"/>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2027"/>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074AD"/>
    <w:rsid w:val="006129E4"/>
    <w:rsid w:val="00612A64"/>
    <w:rsid w:val="006133FF"/>
    <w:rsid w:val="00614C04"/>
    <w:rsid w:val="006177DC"/>
    <w:rsid w:val="00620629"/>
    <w:rsid w:val="00621F24"/>
    <w:rsid w:val="00627365"/>
    <w:rsid w:val="006302E8"/>
    <w:rsid w:val="0063095A"/>
    <w:rsid w:val="006313CF"/>
    <w:rsid w:val="00631592"/>
    <w:rsid w:val="0063544D"/>
    <w:rsid w:val="00640531"/>
    <w:rsid w:val="00640A07"/>
    <w:rsid w:val="00640DB0"/>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A6C"/>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589E"/>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284"/>
    <w:rsid w:val="006E64E3"/>
    <w:rsid w:val="006E755D"/>
    <w:rsid w:val="006F3BFC"/>
    <w:rsid w:val="006F4793"/>
    <w:rsid w:val="006F79C9"/>
    <w:rsid w:val="00700F67"/>
    <w:rsid w:val="007019A7"/>
    <w:rsid w:val="00702F00"/>
    <w:rsid w:val="007047AC"/>
    <w:rsid w:val="00704897"/>
    <w:rsid w:val="00704B0B"/>
    <w:rsid w:val="00705968"/>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35240"/>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5DC0"/>
    <w:rsid w:val="007A6EA0"/>
    <w:rsid w:val="007A6F19"/>
    <w:rsid w:val="007B10B2"/>
    <w:rsid w:val="007B1317"/>
    <w:rsid w:val="007B15A7"/>
    <w:rsid w:val="007B3132"/>
    <w:rsid w:val="007B5471"/>
    <w:rsid w:val="007B7403"/>
    <w:rsid w:val="007C0BA3"/>
    <w:rsid w:val="007C231A"/>
    <w:rsid w:val="007C2A03"/>
    <w:rsid w:val="007C2BA6"/>
    <w:rsid w:val="007C4172"/>
    <w:rsid w:val="007C44EB"/>
    <w:rsid w:val="007D1B36"/>
    <w:rsid w:val="007D23E2"/>
    <w:rsid w:val="007D2D47"/>
    <w:rsid w:val="007D336E"/>
    <w:rsid w:val="007D4705"/>
    <w:rsid w:val="007D6946"/>
    <w:rsid w:val="007D74B7"/>
    <w:rsid w:val="007E081F"/>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339E"/>
    <w:rsid w:val="008442F7"/>
    <w:rsid w:val="00846CAC"/>
    <w:rsid w:val="00855CCB"/>
    <w:rsid w:val="00857863"/>
    <w:rsid w:val="008604D0"/>
    <w:rsid w:val="00862196"/>
    <w:rsid w:val="00862F1D"/>
    <w:rsid w:val="00863980"/>
    <w:rsid w:val="008663EB"/>
    <w:rsid w:val="00870290"/>
    <w:rsid w:val="008715F1"/>
    <w:rsid w:val="00872D35"/>
    <w:rsid w:val="00873851"/>
    <w:rsid w:val="008770AA"/>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1939"/>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5834"/>
    <w:rsid w:val="00927983"/>
    <w:rsid w:val="009317ED"/>
    <w:rsid w:val="009318C6"/>
    <w:rsid w:val="00934753"/>
    <w:rsid w:val="009356E4"/>
    <w:rsid w:val="00936A82"/>
    <w:rsid w:val="0094338A"/>
    <w:rsid w:val="00950031"/>
    <w:rsid w:val="009508CE"/>
    <w:rsid w:val="00953957"/>
    <w:rsid w:val="00953D66"/>
    <w:rsid w:val="0095431D"/>
    <w:rsid w:val="009557BE"/>
    <w:rsid w:val="0095698F"/>
    <w:rsid w:val="0095743B"/>
    <w:rsid w:val="00960E0A"/>
    <w:rsid w:val="009666AF"/>
    <w:rsid w:val="00970380"/>
    <w:rsid w:val="00971C13"/>
    <w:rsid w:val="00972C39"/>
    <w:rsid w:val="0098014F"/>
    <w:rsid w:val="0098269D"/>
    <w:rsid w:val="00983B84"/>
    <w:rsid w:val="009855C6"/>
    <w:rsid w:val="00986529"/>
    <w:rsid w:val="0098714E"/>
    <w:rsid w:val="00987F1F"/>
    <w:rsid w:val="00993A73"/>
    <w:rsid w:val="00993AA8"/>
    <w:rsid w:val="00995A63"/>
    <w:rsid w:val="00996F8C"/>
    <w:rsid w:val="009A030F"/>
    <w:rsid w:val="009A040F"/>
    <w:rsid w:val="009A0EA0"/>
    <w:rsid w:val="009A194D"/>
    <w:rsid w:val="009A4395"/>
    <w:rsid w:val="009A451C"/>
    <w:rsid w:val="009A5CE7"/>
    <w:rsid w:val="009A71A2"/>
    <w:rsid w:val="009A71F6"/>
    <w:rsid w:val="009A7B63"/>
    <w:rsid w:val="009A7BB6"/>
    <w:rsid w:val="009B1BBB"/>
    <w:rsid w:val="009B3D38"/>
    <w:rsid w:val="009B3DB3"/>
    <w:rsid w:val="009B40A9"/>
    <w:rsid w:val="009B64EE"/>
    <w:rsid w:val="009B7671"/>
    <w:rsid w:val="009C0CED"/>
    <w:rsid w:val="009C1A28"/>
    <w:rsid w:val="009C4B4C"/>
    <w:rsid w:val="009C6B7F"/>
    <w:rsid w:val="009C79A9"/>
    <w:rsid w:val="009D0881"/>
    <w:rsid w:val="009D1908"/>
    <w:rsid w:val="009D23B7"/>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E85"/>
    <w:rsid w:val="00AA0FA5"/>
    <w:rsid w:val="00AA1E2A"/>
    <w:rsid w:val="00AA21CC"/>
    <w:rsid w:val="00AA2DF6"/>
    <w:rsid w:val="00AA4786"/>
    <w:rsid w:val="00AA56E7"/>
    <w:rsid w:val="00AA7F33"/>
    <w:rsid w:val="00AB1869"/>
    <w:rsid w:val="00AB3828"/>
    <w:rsid w:val="00AB4624"/>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E32F5"/>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274AF"/>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349F"/>
    <w:rsid w:val="00B65E3E"/>
    <w:rsid w:val="00B67729"/>
    <w:rsid w:val="00B67ECE"/>
    <w:rsid w:val="00B703B7"/>
    <w:rsid w:val="00B70528"/>
    <w:rsid w:val="00B71F02"/>
    <w:rsid w:val="00B73680"/>
    <w:rsid w:val="00B755E5"/>
    <w:rsid w:val="00B7735D"/>
    <w:rsid w:val="00B773FB"/>
    <w:rsid w:val="00B8027C"/>
    <w:rsid w:val="00B826A7"/>
    <w:rsid w:val="00B87076"/>
    <w:rsid w:val="00B87CA8"/>
    <w:rsid w:val="00B912E1"/>
    <w:rsid w:val="00B92696"/>
    <w:rsid w:val="00B9292B"/>
    <w:rsid w:val="00B92C42"/>
    <w:rsid w:val="00B947A1"/>
    <w:rsid w:val="00B951C3"/>
    <w:rsid w:val="00B956EA"/>
    <w:rsid w:val="00B97030"/>
    <w:rsid w:val="00BA0D8B"/>
    <w:rsid w:val="00BA2C7D"/>
    <w:rsid w:val="00BA72C6"/>
    <w:rsid w:val="00BB02F6"/>
    <w:rsid w:val="00BB566F"/>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3B4F"/>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6DB4"/>
    <w:rsid w:val="00C07BF4"/>
    <w:rsid w:val="00C10155"/>
    <w:rsid w:val="00C108B6"/>
    <w:rsid w:val="00C10B08"/>
    <w:rsid w:val="00C11028"/>
    <w:rsid w:val="00C12CFF"/>
    <w:rsid w:val="00C12D0D"/>
    <w:rsid w:val="00C1529C"/>
    <w:rsid w:val="00C156BE"/>
    <w:rsid w:val="00C15A6E"/>
    <w:rsid w:val="00C17844"/>
    <w:rsid w:val="00C22BF1"/>
    <w:rsid w:val="00C25010"/>
    <w:rsid w:val="00C26BFB"/>
    <w:rsid w:val="00C27DC8"/>
    <w:rsid w:val="00C3049C"/>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3BEC"/>
    <w:rsid w:val="00C64722"/>
    <w:rsid w:val="00C65BC9"/>
    <w:rsid w:val="00C66571"/>
    <w:rsid w:val="00C67D70"/>
    <w:rsid w:val="00C71F06"/>
    <w:rsid w:val="00C72BE4"/>
    <w:rsid w:val="00C72FC3"/>
    <w:rsid w:val="00C72FE7"/>
    <w:rsid w:val="00C7614A"/>
    <w:rsid w:val="00C805B9"/>
    <w:rsid w:val="00C81018"/>
    <w:rsid w:val="00C8162F"/>
    <w:rsid w:val="00C83564"/>
    <w:rsid w:val="00C84035"/>
    <w:rsid w:val="00C867D8"/>
    <w:rsid w:val="00C87404"/>
    <w:rsid w:val="00C87A5D"/>
    <w:rsid w:val="00C90B96"/>
    <w:rsid w:val="00C915F2"/>
    <w:rsid w:val="00C932A5"/>
    <w:rsid w:val="00C93AF0"/>
    <w:rsid w:val="00C94DE1"/>
    <w:rsid w:val="00C9635E"/>
    <w:rsid w:val="00C970A2"/>
    <w:rsid w:val="00CA10FF"/>
    <w:rsid w:val="00CA1936"/>
    <w:rsid w:val="00CA1E21"/>
    <w:rsid w:val="00CA200D"/>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50D"/>
    <w:rsid w:val="00D44BBE"/>
    <w:rsid w:val="00D4635B"/>
    <w:rsid w:val="00D46651"/>
    <w:rsid w:val="00D51563"/>
    <w:rsid w:val="00D538E1"/>
    <w:rsid w:val="00D547D4"/>
    <w:rsid w:val="00D54A33"/>
    <w:rsid w:val="00D54F79"/>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1D78"/>
    <w:rsid w:val="00D8588C"/>
    <w:rsid w:val="00D87D35"/>
    <w:rsid w:val="00D90D85"/>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0B8C"/>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5D2E"/>
    <w:rsid w:val="00E36585"/>
    <w:rsid w:val="00E3735C"/>
    <w:rsid w:val="00E37B51"/>
    <w:rsid w:val="00E419C7"/>
    <w:rsid w:val="00E42599"/>
    <w:rsid w:val="00E44BDF"/>
    <w:rsid w:val="00E452DB"/>
    <w:rsid w:val="00E46F07"/>
    <w:rsid w:val="00E55592"/>
    <w:rsid w:val="00E55A06"/>
    <w:rsid w:val="00E56002"/>
    <w:rsid w:val="00E5650D"/>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5CA3"/>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1BF2"/>
    <w:rsid w:val="00F12AD5"/>
    <w:rsid w:val="00F12E8D"/>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367A6"/>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667A2"/>
    <w:rsid w:val="00F718C2"/>
    <w:rsid w:val="00F74E7C"/>
    <w:rsid w:val="00F753B7"/>
    <w:rsid w:val="00F75B69"/>
    <w:rsid w:val="00F829CF"/>
    <w:rsid w:val="00F84D93"/>
    <w:rsid w:val="00F9649F"/>
    <w:rsid w:val="00FA2418"/>
    <w:rsid w:val="00FA3271"/>
    <w:rsid w:val="00FA36EA"/>
    <w:rsid w:val="00FA4781"/>
    <w:rsid w:val="00FA4BD1"/>
    <w:rsid w:val="00FA51D7"/>
    <w:rsid w:val="00FA6144"/>
    <w:rsid w:val="00FB3338"/>
    <w:rsid w:val="00FB3DCF"/>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B17B2"/>
    <w:rsid w:val="00104C76"/>
    <w:rsid w:val="00114A8E"/>
    <w:rsid w:val="00173C0F"/>
    <w:rsid w:val="001D2697"/>
    <w:rsid w:val="002300E3"/>
    <w:rsid w:val="00251FC2"/>
    <w:rsid w:val="00252E98"/>
    <w:rsid w:val="002D2536"/>
    <w:rsid w:val="002D4217"/>
    <w:rsid w:val="002D5381"/>
    <w:rsid w:val="002E62C8"/>
    <w:rsid w:val="002F04E1"/>
    <w:rsid w:val="00372F43"/>
    <w:rsid w:val="003A330F"/>
    <w:rsid w:val="003C0A70"/>
    <w:rsid w:val="003C2C13"/>
    <w:rsid w:val="003F2DE4"/>
    <w:rsid w:val="00474A07"/>
    <w:rsid w:val="00496D02"/>
    <w:rsid w:val="004E62D9"/>
    <w:rsid w:val="004F5C51"/>
    <w:rsid w:val="00507BA9"/>
    <w:rsid w:val="005A2A81"/>
    <w:rsid w:val="005D7D24"/>
    <w:rsid w:val="005E2CC0"/>
    <w:rsid w:val="00636012"/>
    <w:rsid w:val="00655775"/>
    <w:rsid w:val="006852CB"/>
    <w:rsid w:val="006E6D94"/>
    <w:rsid w:val="006F43C6"/>
    <w:rsid w:val="00707222"/>
    <w:rsid w:val="00760757"/>
    <w:rsid w:val="00771A8F"/>
    <w:rsid w:val="007749AF"/>
    <w:rsid w:val="008644DC"/>
    <w:rsid w:val="00864D84"/>
    <w:rsid w:val="008813B5"/>
    <w:rsid w:val="00881D70"/>
    <w:rsid w:val="008C2F26"/>
    <w:rsid w:val="008D7458"/>
    <w:rsid w:val="00920586"/>
    <w:rsid w:val="00925834"/>
    <w:rsid w:val="009826B2"/>
    <w:rsid w:val="009C6B7F"/>
    <w:rsid w:val="00A7772A"/>
    <w:rsid w:val="00AB0E9A"/>
    <w:rsid w:val="00AD6828"/>
    <w:rsid w:val="00AE2F37"/>
    <w:rsid w:val="00B306BC"/>
    <w:rsid w:val="00B41DBF"/>
    <w:rsid w:val="00B845B8"/>
    <w:rsid w:val="00C37097"/>
    <w:rsid w:val="00C55CB0"/>
    <w:rsid w:val="00C56320"/>
    <w:rsid w:val="00C86618"/>
    <w:rsid w:val="00CA200D"/>
    <w:rsid w:val="00CB3262"/>
    <w:rsid w:val="00D46F01"/>
    <w:rsid w:val="00DA1ABA"/>
    <w:rsid w:val="00DE71A5"/>
    <w:rsid w:val="00E35D2E"/>
    <w:rsid w:val="00EE4021"/>
    <w:rsid w:val="00F00F1E"/>
    <w:rsid w:val="00F17A74"/>
    <w:rsid w:val="00F37B58"/>
    <w:rsid w:val="00F47AAF"/>
    <w:rsid w:val="00F54331"/>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8456</Words>
  <Characters>49893</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26</cp:revision>
  <cp:lastPrinted>2019-05-15T11:03:00Z</cp:lastPrinted>
  <dcterms:created xsi:type="dcterms:W3CDTF">2024-12-12T11:30:00Z</dcterms:created>
  <dcterms:modified xsi:type="dcterms:W3CDTF">2025-02-13T12:27:00Z</dcterms:modified>
</cp:coreProperties>
</file>